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2021-10-26 09:20:23</w:t>
      </w:r>
    </w:p>
    <w:bookmarkStart w:id="42" w:name="abstract"/>
    <w:p>
      <w:pPr>
        <w:pStyle w:val="Heading1"/>
      </w:pPr>
      <w:r>
        <w:t xml:space="preserve">Abstract</w:t>
      </w:r>
    </w:p>
    <w:p>
      <w:pPr>
        <w:pStyle w:val="FirstParagraph"/>
      </w:pPr>
      <w:r>
        <w:t xml:space="preserve">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1600 metric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1.8 billion liters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814 million liters (215 million gallons) of wastewater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49" w:name="methods"/>
    <w:p>
      <w:pPr>
        <w:pStyle w:val="Heading1"/>
      </w:pPr>
      <w:r>
        <w:t xml:space="preserve">Methods</w:t>
      </w:r>
    </w:p>
    <w:bookmarkStart w:id="46"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over the following months.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 Additional sampling for contaminants (e.g., heavy metals), invertebrates, and nekton was also conducted, but they are not reported here in anticipation of future monitoring events.</w:t>
      </w:r>
    </w:p>
    <w:bookmarkEnd w:id="46"/>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48"/>
    <w:bookmarkEnd w:id="49"/>
    <w:bookmarkStart w:id="55" w:name="results"/>
    <w:p>
      <w:pPr>
        <w:pStyle w:val="Heading1"/>
      </w:pPr>
      <w:r>
        <w:t xml:space="preserve">Results</w:t>
      </w:r>
    </w:p>
    <w:bookmarkStart w:id="50" w:name="timeline-of-events-from-april-2021"/>
    <w:p>
      <w:pPr>
        <w:pStyle w:val="Heading2"/>
      </w:pPr>
      <w:r>
        <w:t xml:space="preserve">Timeline of events from April 2021</w:t>
      </w:r>
    </w:p>
    <w:p>
      <w:pPr>
        <w:pStyle w:val="FirstParagraph"/>
      </w:pPr>
      <w:r>
        <w:t xml:space="preserve">A general narrative of 2021 events in Tampa Bay following discharge 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Conditions were relatively stable in August and September compared to the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2"/>
    <w:bookmarkStart w:id="53"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1953 to present in Figure</w:t>
      </w:r>
      <w:r>
        <w:t xml:space="preserve"> </w:t>
      </w:r>
      <w:r>
        <w:t xml:space="preserve">7</w:t>
      </w:r>
      <w:r>
        <w:t xml:space="preserve">a shows cell concentrations sampled in middle and lower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nutrient-cycling"/>
    <w:p>
      <w:pPr>
        <w:pStyle w:val="Heading2"/>
      </w:pPr>
      <w:r>
        <w:t xml:space="preserve">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1"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tide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Although the characteristics of water in a gypstack can vary based on site specific criteria,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64"/>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8" w:name="references"/>
    <w:p>
      <w:pPr>
        <w:pStyle w:val="Heading1"/>
      </w:pPr>
      <w:r>
        <w:t xml:space="preserve">References</w:t>
      </w:r>
    </w:p>
    <w:bookmarkStart w:id="187"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7"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Janicki08"/>
    <w:p>
      <w:pPr>
        <w:pStyle w:val="Bibliography"/>
      </w:pPr>
      <w:r>
        <w:t xml:space="preserve">Janicki Environmental, Inc., 2008. Estimation of nitrogen loading from residential irrigation. Tampa Bay Estuary Program, St. Petersburg, Florida.</w:t>
      </w:r>
    </w:p>
    <w:bookmarkEnd w:id="130"/>
    <w:bookmarkStart w:id="131"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2"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51">
        <w:r>
          <w:rPr>
            <w:rStyle w:val="Hyperlink"/>
          </w:rPr>
          <w:t xml:space="preserve">https://doi.org/10.1016/j.atmosenv.2012.12.030</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4">
        <w:r>
          <w:rPr>
            <w:rStyle w:val="Hyperlink"/>
          </w:rPr>
          <w:t xml:space="preserve">https://doi.org/10.1007/s11270-013-1742-7</w:t>
        </w:r>
      </w:hyperlink>
    </w:p>
    <w:bookmarkEnd w:id="155"/>
    <w:bookmarkStart w:id="15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6">
        <w:r>
          <w:rPr>
            <w:rStyle w:val="Hyperlink"/>
          </w:rPr>
          <w:t xml:space="preserve">https://doi.org/10.1016/j.ecolind.2020.107310</w:t>
        </w:r>
      </w:hyperlink>
    </w:p>
    <w:bookmarkEnd w:id="157"/>
    <w:bookmarkStart w:id="159"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8">
        <w:r>
          <w:rPr>
            <w:rStyle w:val="Hyperlink"/>
          </w:rPr>
          <w:t xml:space="preserve">https://doi.org/10.1007/s00267-013-0179-5</w:t>
        </w:r>
      </w:hyperlink>
    </w:p>
    <w:bookmarkEnd w:id="159"/>
    <w:bookmarkStart w:id="161"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0">
        <w:r>
          <w:rPr>
            <w:rStyle w:val="Hyperlink"/>
          </w:rPr>
          <w:t xml:space="preserve">https://doi.org/10.1353/sgo.2017.0026</w:t>
        </w:r>
      </w:hyperlink>
    </w:p>
    <w:bookmarkEnd w:id="161"/>
    <w:bookmarkStart w:id="163"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2">
        <w:r>
          <w:rPr>
            <w:rStyle w:val="Hyperlink"/>
          </w:rPr>
          <w:t xml:space="preserve">https://doi.org/10.1016/j.hal.2021.102118</w:t>
        </w:r>
      </w:hyperlink>
    </w:p>
    <w:bookmarkEnd w:id="163"/>
    <w:bookmarkStart w:id="165"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4">
        <w:r>
          <w:rPr>
            <w:rStyle w:val="Hyperlink"/>
          </w:rPr>
          <w:t xml:space="preserve">https://doi.org/10.1016/j.jembe.2005.11.025</w:t>
        </w:r>
      </w:hyperlink>
    </w:p>
    <w:bookmarkEnd w:id="165"/>
    <w:bookmarkStart w:id="167"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6">
        <w:r>
          <w:rPr>
            <w:rStyle w:val="Hyperlink"/>
          </w:rPr>
          <w:t xml:space="preserve">https://doi.org/10.1080/00139307509435842</w:t>
        </w:r>
      </w:hyperlink>
    </w:p>
    <w:bookmarkEnd w:id="167"/>
    <w:bookmarkStart w:id="169"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8">
        <w:r>
          <w:rPr>
            <w:rStyle w:val="Hyperlink"/>
          </w:rPr>
          <w:t xml:space="preserve">https://doi.org/10.1080/00139307209435473</w:t>
        </w:r>
      </w:hyperlink>
    </w:p>
    <w:bookmarkEnd w:id="169"/>
    <w:bookmarkStart w:id="17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0"/>
    <w:bookmarkStart w:id="17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1">
        <w:r>
          <w:rPr>
            <w:rStyle w:val="Hyperlink"/>
          </w:rPr>
          <w:t xml:space="preserve">https://doi.org/10.1016/j.jenvman.2009.03.007</w:t>
        </w:r>
      </w:hyperlink>
    </w:p>
    <w:bookmarkEnd w:id="172"/>
    <w:bookmarkStart w:id="17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3">
        <w:r>
          <w:rPr>
            <w:rStyle w:val="Hyperlink"/>
          </w:rPr>
          <w:t xml:space="preserve">https://doi.org/10.1016/j.marpolbul.2020.111247</w:t>
        </w:r>
      </w:hyperlink>
    </w:p>
    <w:bookmarkEnd w:id="174"/>
    <w:bookmarkStart w:id="176"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5">
        <w:r>
          <w:rPr>
            <w:rStyle w:val="Hyperlink"/>
          </w:rPr>
          <w:t xml:space="preserve">https://doi.org/10.1016/j.marpolbul.2018.08.049</w:t>
        </w:r>
      </w:hyperlink>
    </w:p>
    <w:bookmarkEnd w:id="176"/>
    <w:bookmarkStart w:id="178"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7">
        <w:r>
          <w:rPr>
            <w:rStyle w:val="Hyperlink"/>
          </w:rPr>
          <w:t xml:space="preserve">https://doi.org/10.4319/lo.1997.42.5_part_2.1105</w:t>
        </w:r>
      </w:hyperlink>
    </w:p>
    <w:bookmarkEnd w:id="178"/>
    <w:bookmarkStart w:id="179"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9"/>
    <w:bookmarkStart w:id="18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0">
        <w:r>
          <w:rPr>
            <w:rStyle w:val="Hyperlink"/>
          </w:rPr>
          <w:t xml:space="preserve">https://doi.org/10.1029/2018JC014887</w:t>
        </w:r>
      </w:hyperlink>
    </w:p>
    <w:bookmarkEnd w:id="181"/>
    <w:bookmarkStart w:id="18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2">
        <w:r>
          <w:rPr>
            <w:rStyle w:val="Hyperlink"/>
          </w:rPr>
          <w:t xml:space="preserve">https://doi.org/10.1016/j.hal.2014.04.010</w:t>
        </w:r>
      </w:hyperlink>
    </w:p>
    <w:bookmarkEnd w:id="183"/>
    <w:bookmarkStart w:id="18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4">
        <w:r>
          <w:rPr>
            <w:rStyle w:val="Hyperlink"/>
          </w:rPr>
          <w:t xml:space="preserve">https://doi.org/10.21105/joss.01686</w:t>
        </w:r>
      </w:hyperlink>
    </w:p>
    <w:bookmarkEnd w:id="185"/>
    <w:bookmarkStart w:id="186" w:name="ref-Wood17"/>
    <w:p>
      <w:pPr>
        <w:pStyle w:val="Bibliography"/>
      </w:pPr>
      <w:r>
        <w:t xml:space="preserve">Wood, S.N., 2017. Generalized additive models: An introduction with r, 2nd ed. Chapman; Hall, CRC Press, London, United Kingdom.</w:t>
      </w:r>
    </w:p>
    <w:bookmarkEnd w:id="186"/>
    <w:bookmarkEnd w:id="187"/>
    <w:bookmarkEnd w:id="1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8" Target="https://doi.org/10.1007/s00267-013-0179-5" TargetMode="External" /><Relationship Type="http://schemas.openxmlformats.org/officeDocument/2006/relationships/hyperlink" Id="rId154"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9" Target="https://doi.org/10.1016/j.apgeochem.2010.02.003" TargetMode="External" /><Relationship Type="http://schemas.openxmlformats.org/officeDocument/2006/relationships/hyperlink" Id="rId151" Target="https://doi.org/10.1016/j.atmosenv.2012.12.030" TargetMode="External" /><Relationship Type="http://schemas.openxmlformats.org/officeDocument/2006/relationships/hyperlink" Id="rId156"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8"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8" Target="https://doi.org/10.1007/s00267-013-0179-5" TargetMode="External" /><Relationship Type="http://schemas.openxmlformats.org/officeDocument/2006/relationships/hyperlink" Id="rId154"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9" Target="https://doi.org/10.1016/j.apgeochem.2010.02.003" TargetMode="External" /><Relationship Type="http://schemas.openxmlformats.org/officeDocument/2006/relationships/hyperlink" Id="rId151" Target="https://doi.org/10.1016/j.atmosenv.2012.12.030" TargetMode="External" /><Relationship Type="http://schemas.openxmlformats.org/officeDocument/2006/relationships/hyperlink" Id="rId156"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8"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2021-10-26T13:20:28Z</dcterms:created>
  <dcterms:modified xsi:type="dcterms:W3CDTF">2021-10-26T13:20:28Z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